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49"/>
        <w:gridCol w:w="1923"/>
        <w:gridCol w:w="5353"/>
      </w:tblGrid>
      <w:tr w:rsidR="00952E0E" w:rsidRPr="00CA1761" w:rsidTr="00FC4E40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52E0E" w:rsidRPr="00CA1761" w:rsidRDefault="00952E0E" w:rsidP="00CA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A1761" w:rsidRPr="00CA1761" w:rsidTr="00B21BF9">
        <w:trPr>
          <w:trHeight w:val="420"/>
        </w:trPr>
        <w:tc>
          <w:tcPr>
            <w:tcW w:w="5000" w:type="pct"/>
            <w:gridSpan w:val="4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Аналіз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кандидата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біол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. н.,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викладача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Адаменко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Св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ітлани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Анатоліївни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лісового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господарства</w:t>
            </w:r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2015-2019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A1761" w:rsidRPr="00CA1761" w:rsidTr="00B21BF9">
        <w:trPr>
          <w:trHeight w:val="420"/>
        </w:trPr>
        <w:tc>
          <w:tcPr>
            <w:tcW w:w="5000" w:type="pct"/>
            <w:gridSpan w:val="4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1761" w:rsidRPr="00CA1761" w:rsidTr="00B21BF9">
        <w:trPr>
          <w:trHeight w:val="420"/>
        </w:trPr>
        <w:tc>
          <w:tcPr>
            <w:tcW w:w="5000" w:type="pct"/>
            <w:gridSpan w:val="4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BF9" w:rsidRPr="00CA1761" w:rsidTr="00B21BF9">
        <w:trPr>
          <w:trHeight w:val="585"/>
        </w:trPr>
        <w:tc>
          <w:tcPr>
            <w:tcW w:w="220" w:type="pc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9" w:type="pct"/>
            <w:gridSpan w:val="2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B21BF9" w:rsidRPr="00CF0E9C" w:rsidTr="00B21BF9">
        <w:trPr>
          <w:trHeight w:val="33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</w:p>
        </w:tc>
        <w:tc>
          <w:tcPr>
            <w:tcW w:w="2631" w:type="pct"/>
            <w:vMerge w:val="restart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Adamenko S. Peculiarities of seasonal growth of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Pinus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nigra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J.F. Arnold under the conditions of introduction in the Right-Bank Forest-Steppe of Ukraine /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Shlapak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Kozachenko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Parubok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M. // Journal of forest science, 2018 (8) – 64. –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340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–344.</w:t>
            </w:r>
          </w:p>
        </w:tc>
      </w:tr>
      <w:tr w:rsidR="00B21BF9" w:rsidRPr="00CF0E9C" w:rsidTr="00B21BF9">
        <w:trPr>
          <w:trHeight w:val="33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1BF9" w:rsidRPr="00CF0E9C" w:rsidTr="00B21BF9">
        <w:trPr>
          <w:trHeight w:val="645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1BF9" w:rsidRPr="00CF0E9C" w:rsidTr="00B21BF9">
        <w:trPr>
          <w:trHeight w:val="299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 w:val="restart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Ivashchenko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 Peculiarities of seasonal development and influence of ecological factors on the growth of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thuja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giant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Thuja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licata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Donn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 D. Don) in the conditions of introduction in the Right-Bank Forest-Steppe of Ukraine.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Ivashchenko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Shlapak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V. Journal of forest science, 65,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(9): 350–354.</w:t>
            </w:r>
          </w:p>
        </w:tc>
      </w:tr>
      <w:tr w:rsidR="00B21BF9" w:rsidRPr="00CF0E9C" w:rsidTr="00B21BF9">
        <w:trPr>
          <w:trHeight w:val="135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1BF9" w:rsidRPr="00CA1761" w:rsidTr="00B21BF9">
        <w:trPr>
          <w:trHeight w:val="200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33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монографії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B21BF9" w:rsidRDefault="00B21BF9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Шлапак В.П., Адаменко С.А., Козаченко І.В., Курка С.С. Екологія лісів, </w:t>
            </w:r>
            <w:proofErr w:type="spellStart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</w:t>
            </w:r>
            <w:proofErr w:type="spellEnd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посібн</w:t>
            </w:r>
            <w:proofErr w:type="spellEnd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Умань: ВПЦ «Візаві», 2019. 222 с.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одержав документ про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702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іжнародному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науковому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на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839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міжгалузевої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науково-методичних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ідкомісій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21BF9" w:rsidRPr="00CA1761" w:rsidTr="00B21BF9">
        <w:trPr>
          <w:trHeight w:val="147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(проекту),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редактора/члена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рецензованого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175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школярем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III-IV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II-III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конкурсів-захистів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“Мала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”; участь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“Мала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24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закладах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посадах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(заступника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закладу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/факультету/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установи)/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установи)/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структурного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секретаря закладу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(факультету,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приймальної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заступника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в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опонента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рад)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3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E9C" w:rsidRPr="00CA1761" w:rsidTr="00B21BF9">
        <w:trPr>
          <w:trHeight w:val="2355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вказівок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31" w:type="pct"/>
            <w:shd w:val="clear" w:color="auto" w:fill="auto"/>
            <w:hideMark/>
          </w:tcPr>
          <w:p w:rsidR="00CF0E9C" w:rsidRPr="00CA1761" w:rsidRDefault="00CF0E9C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1.Шлапак В.П.,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Марно-Куца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Масловата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6.040106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збалансоване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природокористування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Прикладана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збалансоване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природокористування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– Умань: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Уманський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НУС, 2016. – 96 с.</w:t>
            </w:r>
          </w:p>
        </w:tc>
      </w:tr>
      <w:tr w:rsidR="00CF0E9C" w:rsidRPr="00CA1761" w:rsidTr="00B21BF9">
        <w:trPr>
          <w:trHeight w:val="1770"/>
        </w:trPr>
        <w:tc>
          <w:tcPr>
            <w:tcW w:w="220" w:type="pct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Іващенко І.Є., Коваль С.А.,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 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насінництво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205 –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–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Уманський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НУС, 2019. – 62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</w:tc>
      </w:tr>
      <w:tr w:rsidR="00CF0E9C" w:rsidRPr="00CA1761" w:rsidTr="00B21BF9">
        <w:trPr>
          <w:trHeight w:val="1140"/>
        </w:trPr>
        <w:tc>
          <w:tcPr>
            <w:tcW w:w="220" w:type="pct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F0E9C" w:rsidRPr="00CA1761" w:rsidRDefault="00CF0E9C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17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Марно-Куца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курсового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Умань. УНУС, 2018. – 38 с.</w:t>
            </w:r>
          </w:p>
        </w:tc>
      </w:tr>
      <w:tr w:rsidR="00CF0E9C" w:rsidRPr="00CA1761" w:rsidTr="00B21BF9">
        <w:trPr>
          <w:trHeight w:val="930"/>
        </w:trPr>
        <w:tc>
          <w:tcPr>
            <w:tcW w:w="220" w:type="pct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F0E9C" w:rsidRPr="00CA1761" w:rsidRDefault="00CF0E9C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A17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Марно-Куца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Умань. УНУС, 2018. – 27с.</w:t>
            </w:r>
          </w:p>
        </w:tc>
      </w:tr>
      <w:tr w:rsidR="00CF0E9C" w:rsidRPr="00CA1761" w:rsidTr="00B21BF9">
        <w:trPr>
          <w:trHeight w:val="930"/>
        </w:trPr>
        <w:tc>
          <w:tcPr>
            <w:tcW w:w="220" w:type="pct"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F0E9C" w:rsidRPr="00CA1761" w:rsidRDefault="00CF0E9C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F0E9C" w:rsidRPr="00CF0E9C" w:rsidRDefault="00CF0E9C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E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CF0E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ітове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лісове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Pr="00CF0E9C">
              <w:rPr>
                <w:rFonts w:ascii="Times New Roman" w:hAnsi="Times New Roman" w:cs="Times New Roman"/>
                <w:sz w:val="24"/>
                <w:szCs w:val="24"/>
              </w:rPr>
              <w:t>» – Умань. УНУС, 2019. – 37с.</w:t>
            </w:r>
          </w:p>
        </w:tc>
      </w:tr>
      <w:tr w:rsidR="00B21BF9" w:rsidRPr="00CA1761" w:rsidTr="00B21BF9">
        <w:trPr>
          <w:trHeight w:val="180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I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діючим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/проблемною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 призером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лауреатом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робота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культурно-мистецьких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брав участь в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Олімпійських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Паралімпійських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Універсіаді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етапах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секретаря, головного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спортивною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делегацією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робота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суддівського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</w:t>
            </w:r>
          </w:p>
        </w:tc>
        <w:tc>
          <w:tcPr>
            <w:tcW w:w="2631" w:type="pct"/>
            <w:vMerge w:val="restar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21BF9" w:rsidRPr="00CA1761" w:rsidTr="00B21BF9">
        <w:trPr>
          <w:trHeight w:val="3495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271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науково-популярних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дорадчих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дискусійних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40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F0E9C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F0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 Асоціації </w:t>
            </w:r>
            <w:proofErr w:type="spellStart"/>
            <w:r w:rsidRPr="00CF0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агролісівників</w:t>
            </w:r>
            <w:proofErr w:type="spellEnd"/>
            <w:r w:rsidRPr="00CF0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</w:t>
            </w:r>
          </w:p>
        </w:tc>
      </w:tr>
      <w:tr w:rsidR="00B21BF9" w:rsidRPr="00CA1761" w:rsidTr="00B21BF9">
        <w:trPr>
          <w:trHeight w:val="330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450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480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gridSpan w:val="2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154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 w:val="restart"/>
            <w:shd w:val="clear" w:color="auto" w:fill="auto"/>
            <w:vAlign w:val="bottom"/>
            <w:hideMark/>
          </w:tcPr>
          <w:p w:rsidR="00CA1761" w:rsidRPr="00CA1761" w:rsidRDefault="00CA1761" w:rsidP="00952E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="00952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</w:t>
            </w:r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(Адаменко С. А,)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952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(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            </w:t>
            </w:r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Шлапак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П.)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2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</w:t>
            </w:r>
          </w:p>
        </w:tc>
      </w:tr>
      <w:tr w:rsidR="00B21BF9" w:rsidRPr="00CA1761" w:rsidTr="00B21BF9">
        <w:trPr>
          <w:trHeight w:val="8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pct"/>
            <w:gridSpan w:val="2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Примітка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:У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розділі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Фактичні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дані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вказується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перелік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опублікованих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статей,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монографій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підручників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посібників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одержаних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охоронних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документів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патентів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)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відповідності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затверджених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вимог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також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наводяться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фактичні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відомості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досліджень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6A81" w:rsidRDefault="00BC6A81"/>
    <w:sectPr w:rsidR="00BC6A81" w:rsidSect="003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6A81"/>
    <w:rsid w:val="00396EE2"/>
    <w:rsid w:val="00952E0E"/>
    <w:rsid w:val="00B21BF9"/>
    <w:rsid w:val="00BC6A81"/>
    <w:rsid w:val="00CA1761"/>
    <w:rsid w:val="00CF0E9C"/>
    <w:rsid w:val="00E334F2"/>
    <w:rsid w:val="00FC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223344</dc:creator>
  <cp:keywords/>
  <dc:description/>
  <cp:lastModifiedBy>223344</cp:lastModifiedBy>
  <cp:revision>5</cp:revision>
  <dcterms:created xsi:type="dcterms:W3CDTF">2019-11-06T11:30:00Z</dcterms:created>
  <dcterms:modified xsi:type="dcterms:W3CDTF">2020-04-19T07:37:00Z</dcterms:modified>
</cp:coreProperties>
</file>