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5812"/>
      </w:tblGrid>
      <w:tr w:rsidR="00B944DA" w:rsidRPr="00686027" w:rsidTr="00283A15">
        <w:trPr>
          <w:trHeight w:val="375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Додаток 1  </w:t>
            </w:r>
          </w:p>
        </w:tc>
      </w:tr>
      <w:tr w:rsidR="000B651C" w:rsidRPr="00686027" w:rsidTr="00283A15">
        <w:trPr>
          <w:trHeight w:val="420"/>
        </w:trPr>
        <w:tc>
          <w:tcPr>
            <w:tcW w:w="10774" w:type="dxa"/>
            <w:gridSpan w:val="3"/>
            <w:vMerge w:val="restart"/>
            <w:hideMark/>
          </w:tcPr>
          <w:p w:rsidR="00B944DA" w:rsidRPr="00686027" w:rsidRDefault="00B944DA" w:rsidP="00B944D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t>Аналіз наукової та професійної активності</w:t>
            </w:r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br/>
            </w:r>
            <w:r w:rsidRPr="0068602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 xml:space="preserve">кандидата с.-г. н., викладача-стажиста </w:t>
            </w:r>
            <w:proofErr w:type="spellStart"/>
            <w:r w:rsidRPr="0068602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Масловатої</w:t>
            </w:r>
            <w:proofErr w:type="spellEnd"/>
            <w:r w:rsidRPr="0068602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 xml:space="preserve"> Світлани Андріївни</w:t>
            </w:r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br/>
              <w:t xml:space="preserve">кафедри </w:t>
            </w:r>
            <w:r w:rsidRPr="0068602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 xml:space="preserve">лісового </w:t>
            </w:r>
            <w:proofErr w:type="spellStart"/>
            <w:r w:rsidRPr="0068602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господарства</w:t>
            </w:r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t>за</w:t>
            </w:r>
            <w:proofErr w:type="spellEnd"/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2015-2019 рр.</w:t>
            </w:r>
          </w:p>
        </w:tc>
      </w:tr>
      <w:tr w:rsidR="000B651C" w:rsidRPr="00686027" w:rsidTr="00283A15">
        <w:trPr>
          <w:trHeight w:val="420"/>
        </w:trPr>
        <w:tc>
          <w:tcPr>
            <w:tcW w:w="10774" w:type="dxa"/>
            <w:gridSpan w:val="3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B651C" w:rsidRPr="00686027" w:rsidTr="00283A15">
        <w:trPr>
          <w:trHeight w:val="299"/>
        </w:trPr>
        <w:tc>
          <w:tcPr>
            <w:tcW w:w="10774" w:type="dxa"/>
            <w:gridSpan w:val="3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944DA" w:rsidRPr="00686027" w:rsidTr="00283A15">
        <w:trPr>
          <w:trHeight w:val="585"/>
        </w:trPr>
        <w:tc>
          <w:tcPr>
            <w:tcW w:w="567" w:type="dxa"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br/>
              <w:t>п/</w:t>
            </w:r>
            <w:proofErr w:type="spellStart"/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395" w:type="dxa"/>
            <w:noWrap/>
            <w:hideMark/>
          </w:tcPr>
          <w:p w:rsidR="00B944DA" w:rsidRPr="00686027" w:rsidRDefault="00B944DA" w:rsidP="00B944D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t>Показник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86027">
              <w:rPr>
                <w:rFonts w:ascii="Times New Roman" w:hAnsi="Times New Roman" w:cs="Times New Roman"/>
                <w:b/>
                <w:bCs/>
                <w:lang w:val="uk-UA"/>
              </w:rPr>
              <w:t>Фактичні дані*</w:t>
            </w:r>
          </w:p>
        </w:tc>
      </w:tr>
      <w:tr w:rsidR="00B944DA" w:rsidRPr="004F12D5" w:rsidTr="00283A15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95" w:type="dxa"/>
            <w:vMerge w:val="restart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наукометричних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баз, рекомендованих МОН, зокрема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Scopus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Web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Science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Core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Collection</w:t>
            </w:r>
            <w:proofErr w:type="spellEnd"/>
          </w:p>
        </w:tc>
        <w:tc>
          <w:tcPr>
            <w:tcW w:w="5812" w:type="dxa"/>
            <w:vMerge w:val="restart"/>
            <w:noWrap/>
            <w:hideMark/>
          </w:tcPr>
          <w:p w:rsidR="00B944DA" w:rsidRDefault="00B944DA" w:rsidP="00283A15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Kozhukhivska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R.,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Sakovska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О.,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Maliuga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L.,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Maslovata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S.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formation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a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system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investment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prospects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Ukrainian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tourism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recreation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sector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enterprises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on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terms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benchmarking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Proceedings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33rd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International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Business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Information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Management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Association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Conference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, IBIMA 2019: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Education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Excellence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Innovation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Management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through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Vision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2020. 33rd IBIMA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Conference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: 10-11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April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2019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Granada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Spain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Editor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Khalid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 xml:space="preserve"> S. </w:t>
            </w:r>
            <w:proofErr w:type="spellStart"/>
            <w:r w:rsidR="00AF35B5" w:rsidRPr="00AF35B5">
              <w:rPr>
                <w:rFonts w:ascii="Times New Roman" w:hAnsi="Times New Roman" w:cs="Times New Roman"/>
                <w:lang w:val="uk-UA"/>
              </w:rPr>
              <w:t>Soliman</w:t>
            </w:r>
            <w:proofErr w:type="spellEnd"/>
            <w:r w:rsidR="00AF35B5" w:rsidRPr="00AF35B5">
              <w:rPr>
                <w:rFonts w:ascii="Times New Roman" w:hAnsi="Times New Roman" w:cs="Times New Roman"/>
                <w:lang w:val="uk-UA"/>
              </w:rPr>
              <w:t>. 2019. P. 5282-5290. URL: http://www.scopus.com/inward/record.url?eid=2-s2.0-85074076036&amp;partnerID=MN8TOARS</w:t>
            </w:r>
          </w:p>
          <w:p w:rsidR="004F12D5" w:rsidRDefault="004F12D5" w:rsidP="00283A15">
            <w:pPr>
              <w:rPr>
                <w:rFonts w:ascii="Times New Roman" w:hAnsi="Times New Roman" w:cs="Times New Roman"/>
                <w:lang w:val="uk-UA"/>
              </w:rPr>
            </w:pPr>
          </w:p>
          <w:p w:rsidR="004F12D5" w:rsidRPr="00686027" w:rsidRDefault="004F12D5" w:rsidP="00283A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4F12D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Volodymyr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Vitenko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Volodymyr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Shlapak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Iryna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Kozachenko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Volodymyr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Kulbitskyi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Svitlana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Maslovata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Sergiy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Koval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F12D5">
              <w:rPr>
                <w:rFonts w:ascii="Times New Roman" w:hAnsi="Times New Roman" w:cs="Times New Roman"/>
                <w:lang w:val="en-US"/>
              </w:rPr>
              <w:t>and</w:t>
            </w:r>
            <w:r w:rsidRPr="004F12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Lazariev</w:t>
            </w:r>
            <w:proofErr w:type="spellEnd"/>
            <w:r w:rsidRPr="004F12D5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F12D5">
              <w:rPr>
                <w:rFonts w:ascii="Times New Roman" w:hAnsi="Times New Roman" w:cs="Times New Roman"/>
                <w:i/>
                <w:lang w:val="en-US"/>
              </w:rPr>
              <w:t xml:space="preserve">Results of grafting of </w:t>
            </w:r>
            <w:proofErr w:type="spellStart"/>
            <w:r w:rsidRPr="004F12D5">
              <w:rPr>
                <w:rFonts w:ascii="Times New Roman" w:hAnsi="Times New Roman" w:cs="Times New Roman"/>
                <w:i/>
                <w:lang w:val="en-US"/>
              </w:rPr>
              <w:t>Morus</w:t>
            </w:r>
            <w:proofErr w:type="spellEnd"/>
            <w:r w:rsidRPr="004F12D5">
              <w:rPr>
                <w:rFonts w:ascii="Times New Roman" w:hAnsi="Times New Roman" w:cs="Times New Roman"/>
                <w:i/>
                <w:lang w:val="en-US"/>
              </w:rPr>
              <w:t xml:space="preserve"> alba L. decorative forms</w:t>
            </w:r>
            <w:r w:rsidRPr="004F12D5">
              <w:rPr>
                <w:rFonts w:ascii="Times New Roman" w:hAnsi="Times New Roman" w:cs="Times New Roman"/>
                <w:lang w:val="en-US"/>
              </w:rPr>
              <w:t xml:space="preserve">. // International scientific journal Forestry Ideas, 2019, </w:t>
            </w:r>
            <w:proofErr w:type="spellStart"/>
            <w:r w:rsidRPr="004F12D5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4F12D5">
              <w:rPr>
                <w:rFonts w:ascii="Times New Roman" w:hAnsi="Times New Roman" w:cs="Times New Roman"/>
                <w:lang w:val="en-US"/>
              </w:rPr>
              <w:t xml:space="preserve"> 25 No. 2 (19). P. 413-424</w:t>
            </w:r>
          </w:p>
        </w:tc>
      </w:tr>
      <w:tr w:rsidR="00B944DA" w:rsidRPr="004F12D5" w:rsidTr="00283A15">
        <w:trPr>
          <w:trHeight w:val="330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4DA" w:rsidRPr="004F12D5" w:rsidTr="00283A15">
        <w:trPr>
          <w:trHeight w:val="299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4DA" w:rsidRPr="004F12D5" w:rsidTr="00283A15">
        <w:trPr>
          <w:trHeight w:val="1096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4DA" w:rsidRPr="00686027" w:rsidTr="00283A15">
        <w:trPr>
          <w:trHeight w:val="842"/>
        </w:trPr>
        <w:tc>
          <w:tcPr>
            <w:tcW w:w="567" w:type="dxa"/>
            <w:vMerge w:val="restart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95" w:type="dxa"/>
            <w:vMerge w:val="restart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1. Масловата С. А. Насичення водою насіння видів роду в’яз (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Ulmus </w:t>
            </w:r>
            <w:r w:rsidRPr="00686027">
              <w:rPr>
                <w:rFonts w:ascii="Times New Roman" w:hAnsi="Times New Roman" w:cs="Times New Roman"/>
                <w:lang w:val="uk-UA"/>
              </w:rPr>
              <w:t>L.) та їх декоративних форм // Наук. вісник НЛТУ України. Львів. 2015. Вип. 25.9. С. 78–82.</w:t>
            </w:r>
          </w:p>
        </w:tc>
      </w:tr>
      <w:tr w:rsidR="00B944DA" w:rsidRPr="00686027" w:rsidTr="00283A15">
        <w:trPr>
          <w:trHeight w:val="1597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2. Масловата С. А. Оцінка декоративності видів роду 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>Ulmus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L. та їх декоративних форм у Правобережному Лісостепу України // Наукові доповіді Національного університету біоресурсів і природокористування України. Київ. 2015. № 6 (55). Режим доступу: http://nd.nubip.edu.ua/2015_6/22.pdf</w:t>
            </w:r>
          </w:p>
        </w:tc>
      </w:tr>
      <w:tr w:rsidR="00B944DA" w:rsidRPr="00686027" w:rsidTr="00283A15">
        <w:trPr>
          <w:trHeight w:val="699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3. Масловата С. А. Насіннєве розмноження видів роду 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>Ulmus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L. // Наук. вісник НЛТУ України. Львів. 2016. Вип. 26.3. С. 141–145.</w:t>
            </w:r>
          </w:p>
        </w:tc>
      </w:tr>
      <w:tr w:rsidR="00B944DA" w:rsidRPr="00686027" w:rsidTr="00283A15">
        <w:trPr>
          <w:trHeight w:val="794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4. Масловата С. А. Морозостійкість видів та форм роду 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>Ulmus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L. в умовах міста Умані // Наук. вісник НЛТУ України. Львів. 2016. Вип. 26.5. С. 109–115.</w:t>
            </w:r>
          </w:p>
        </w:tc>
      </w:tr>
      <w:tr w:rsidR="00B944DA" w:rsidRPr="00686027" w:rsidTr="00283A15">
        <w:trPr>
          <w:trHeight w:val="976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5. Масловата С. А. Особливості сезонного росту пагонів видів і форм роду 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>Ulmus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L. в умовах Правобережного Лісостепу України // Наук. вісник НЛТУ України. Львів. 2016. Вип. 26.7. С. 120–126. </w:t>
            </w:r>
          </w:p>
        </w:tc>
      </w:tr>
      <w:tr w:rsidR="00B944DA" w:rsidRPr="00686027" w:rsidTr="00283A15">
        <w:trPr>
          <w:trHeight w:val="977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6. Шлапак В. П., Масловата С. А. Використання представників роду 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>Ulmus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L. в озелененні та створенні ландшафтних композицій // Наук. вісник НЛТУ України. Львів. 2017. Вип. 27.1. С. 11–14.</w:t>
            </w:r>
          </w:p>
        </w:tc>
      </w:tr>
      <w:tr w:rsidR="00B944DA" w:rsidRPr="00686027" w:rsidTr="00283A15">
        <w:trPr>
          <w:trHeight w:val="979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7.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Кульбіцький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В. Л., Шлапак В. П., Масловата С. А. Регенераційна здатність зелених живців видів роду </w:t>
            </w:r>
            <w:proofErr w:type="spellStart"/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>Catalpa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Scop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>. у Правобережному Лісостепу України //  Наук. вісник НЛТУ України. Львів. 2018. т. 28 № 10. С. 9–12.</w:t>
            </w:r>
          </w:p>
        </w:tc>
      </w:tr>
      <w:tr w:rsidR="00B944DA" w:rsidRPr="00686027" w:rsidTr="00283A15">
        <w:trPr>
          <w:trHeight w:val="1531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8. Шлапак В. П.,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Коджебаш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А. В., Козаченко І. В., Парубок М. І., Масловата С. А. Уманський національний університет садівництва, м. Умань, Україна Оцінювання сучасного стану парку села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Іванівка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Уманського району та проект його реконструкції // Наук. вісник НЛТУ України. Львів. 2018. т. 28 № 6. С. 47–51.</w:t>
            </w:r>
          </w:p>
        </w:tc>
      </w:tr>
      <w:tr w:rsidR="00B944DA" w:rsidRPr="00686027" w:rsidTr="00283A15">
        <w:trPr>
          <w:trHeight w:val="273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9. Масловата С. А.,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Кульбіцький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В. Л.,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Осіпов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М. Ю. Систематика та філогенетичні зв’язки роду 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>Ulmus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L. //  Наук. вісник НЛТУ України. Львів. 2019. т. 29 № 5. С. 51–55.</w:t>
            </w:r>
          </w:p>
        </w:tc>
      </w:tr>
      <w:tr w:rsidR="00B944DA" w:rsidRPr="00686027" w:rsidTr="00283A15">
        <w:trPr>
          <w:trHeight w:val="10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44DA" w:rsidRPr="00686027" w:rsidRDefault="00B944DA" w:rsidP="00B944D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B944DA" w:rsidRPr="00686027" w:rsidRDefault="00B944DA" w:rsidP="00B944D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10.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Осіпов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М. Ю., Величко Ю. А., Масловата С. А.,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Кульбіцький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В. Л. Проект реконструкції шахтарського бульвару // Наук. вісник НЛТУ України. Львів. 2019. т. 29 № 6. С. 49–53.</w:t>
            </w:r>
          </w:p>
        </w:tc>
      </w:tr>
      <w:tr w:rsidR="00B944DA" w:rsidRPr="00686027" w:rsidTr="00283A15">
        <w:trPr>
          <w:trHeight w:val="11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11.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Шлап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ак В. П.,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Тися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чний О. П.,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Віте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нко В. А.,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Кова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ль С. А.,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Масл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>овата С. А. Таксономічний склад деревних і кущових насаджень Уманського національного університету садівництва // Наук. вісник НЛТУ України. Львів. 2019. т. 29 № 7. С. 9–12.</w:t>
            </w:r>
          </w:p>
        </w:tc>
      </w:tr>
      <w:tr w:rsidR="00B944DA" w:rsidRPr="00686027" w:rsidTr="00283A15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Виданий підручник чи навчальний посібник або монографія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686027" w:rsidTr="00283A15">
        <w:trPr>
          <w:trHeight w:val="660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686027" w:rsidTr="00283A15">
        <w:trPr>
          <w:trHeight w:val="702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Участь у міжнародному науковому проекті/залучення до міжнародної експертизи, наявність звання "суддя міжнародної категорії"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686027" w:rsidTr="00283A15">
        <w:trPr>
          <w:trHeight w:val="660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Проведення навчальних занять іноземною мовою (крім мовних навчальних дисциплін) в обсязі не менше 50 аудиторних годин на навчальний рік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4F12D5" w:rsidTr="00283A15">
        <w:trPr>
          <w:trHeight w:val="1980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з вищої освіти МОН, або робочих груп з розроблення стандартів вищої освіти України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686027" w:rsidTr="00283A15">
        <w:trPr>
          <w:trHeight w:val="1320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4F12D5" w:rsidTr="00283A15">
        <w:trPr>
          <w:trHeight w:val="1290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4F12D5" w:rsidTr="004F12D5">
        <w:trPr>
          <w:trHeight w:val="2400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Організаційна робота у закладах освіти на посадах керівника </w:t>
            </w:r>
            <w:r w:rsidRPr="00686027">
              <w:rPr>
                <w:rFonts w:ascii="Times New Roman" w:hAnsi="Times New Roman" w:cs="Times New Roman"/>
                <w:lang w:val="uk-UA"/>
              </w:rPr>
              <w:br/>
              <w:t>(заступника керівника) закладу освіти/факультету/відділення (наукової установи)/ інституту/філії/кафедри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5812" w:type="dxa"/>
            <w:noWrap/>
            <w:vAlign w:val="center"/>
            <w:hideMark/>
          </w:tcPr>
          <w:p w:rsidR="00B944DA" w:rsidRPr="00686027" w:rsidRDefault="004F12D5" w:rsidP="004F12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відповідального секретаря приймальної комісії</w:t>
            </w:r>
          </w:p>
        </w:tc>
      </w:tr>
      <w:tr w:rsidR="00B944DA" w:rsidRPr="004F12D5" w:rsidTr="00283A15">
        <w:trPr>
          <w:trHeight w:val="660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686027" w:rsidTr="00283A15">
        <w:trPr>
          <w:trHeight w:val="630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E80D48" w:rsidRPr="00686027" w:rsidTr="00283A15">
        <w:trPr>
          <w:trHeight w:val="1312"/>
        </w:trPr>
        <w:tc>
          <w:tcPr>
            <w:tcW w:w="567" w:type="dxa"/>
            <w:vMerge w:val="restart"/>
            <w:noWrap/>
            <w:hideMark/>
          </w:tcPr>
          <w:p w:rsidR="00E80D48" w:rsidRPr="00686027" w:rsidRDefault="00E80D48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395" w:type="dxa"/>
            <w:vMerge w:val="restart"/>
            <w:hideMark/>
          </w:tcPr>
          <w:p w:rsidR="00E80D48" w:rsidRPr="00686027" w:rsidRDefault="00E80D48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Наявність виданих навчально-методичних посібників/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посібників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5812" w:type="dxa"/>
            <w:noWrap/>
            <w:hideMark/>
          </w:tcPr>
          <w:p w:rsidR="00E80D48" w:rsidRPr="00686027" w:rsidRDefault="00E80D48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1. Шлапак В. П.,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Кульбіцький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В. Л., Масловата С. А. Лісівництво: Курсовий проект (методичні вказівки для виконання курсового проекту за напрямком підготовки 6.090103 «Лісове і садово-паркове господарство»). Умань: Уманський НУС, 2016. 22 с.</w:t>
            </w:r>
          </w:p>
        </w:tc>
      </w:tr>
      <w:tr w:rsidR="00E80D48" w:rsidRPr="00686027" w:rsidTr="00283A15">
        <w:trPr>
          <w:trHeight w:val="1260"/>
        </w:trPr>
        <w:tc>
          <w:tcPr>
            <w:tcW w:w="567" w:type="dxa"/>
            <w:vMerge/>
            <w:hideMark/>
          </w:tcPr>
          <w:p w:rsidR="00E80D48" w:rsidRPr="00686027" w:rsidRDefault="00E80D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E80D48" w:rsidRPr="00686027" w:rsidRDefault="00E80D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E80D48" w:rsidRPr="00686027" w:rsidRDefault="00E80D48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2. Шлапак В. П.,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Кульбіцький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В. Л., Масловата С. А. Лісознавство: Курсова робота (методичні вказівки для виконання курсової роботи за напрямком підготовки 6.090103 «Лісове і садово-паркове господарство»). Умань: Уманський НУС, 2016. 30 с.</w:t>
            </w:r>
          </w:p>
        </w:tc>
      </w:tr>
      <w:tr w:rsidR="00E80D48" w:rsidRPr="00AF35B5" w:rsidTr="00283A15">
        <w:trPr>
          <w:trHeight w:val="1216"/>
        </w:trPr>
        <w:tc>
          <w:tcPr>
            <w:tcW w:w="567" w:type="dxa"/>
            <w:vMerge/>
            <w:noWrap/>
          </w:tcPr>
          <w:p w:rsidR="00E80D48" w:rsidRPr="00686027" w:rsidRDefault="00E80D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E80D48" w:rsidRPr="00686027" w:rsidRDefault="00E80D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</w:tcPr>
          <w:p w:rsidR="00E80D48" w:rsidRPr="00686027" w:rsidRDefault="004F12D5" w:rsidP="004F12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5C52A0" w:rsidRPr="0068602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5C52A0" w:rsidRPr="00686027">
              <w:rPr>
                <w:rFonts w:ascii="Times New Roman" w:hAnsi="Times New Roman" w:cs="Times New Roman"/>
                <w:lang w:val="uk-UA"/>
              </w:rPr>
              <w:t>Кульбіцький</w:t>
            </w:r>
            <w:proofErr w:type="spellEnd"/>
            <w:r w:rsidR="005C52A0" w:rsidRPr="00686027">
              <w:rPr>
                <w:rFonts w:ascii="Times New Roman" w:hAnsi="Times New Roman" w:cs="Times New Roman"/>
                <w:lang w:val="uk-UA"/>
              </w:rPr>
              <w:t xml:space="preserve"> В. Л., Марно-Куца О. Ю., Масловата С. А. Методичні вказівки до виконання практичних робіт з навчальної дисципліни «Лісова </w:t>
            </w:r>
            <w:proofErr w:type="spellStart"/>
            <w:r w:rsidR="005C52A0" w:rsidRPr="00686027">
              <w:rPr>
                <w:rFonts w:ascii="Times New Roman" w:hAnsi="Times New Roman" w:cs="Times New Roman"/>
                <w:lang w:val="uk-UA"/>
              </w:rPr>
              <w:t>пірологія</w:t>
            </w:r>
            <w:proofErr w:type="spellEnd"/>
            <w:r w:rsidR="005C52A0" w:rsidRPr="00686027">
              <w:rPr>
                <w:rFonts w:ascii="Times New Roman" w:hAnsi="Times New Roman" w:cs="Times New Roman"/>
                <w:lang w:val="uk-UA"/>
              </w:rPr>
              <w:t>» для студентів факультету лісового і садово-паркового господарства денної та заочної форми навчання за спеціальність 205 Лісове господарство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5C52A0" w:rsidRPr="00686027">
              <w:rPr>
                <w:rFonts w:ascii="Times New Roman" w:hAnsi="Times New Roman" w:cs="Times New Roman"/>
                <w:lang w:val="uk-UA"/>
              </w:rPr>
              <w:t xml:space="preserve"> Умань, Уманський НУС, 2019. 17 с.</w:t>
            </w:r>
          </w:p>
        </w:tc>
      </w:tr>
      <w:tr w:rsidR="00E80D48" w:rsidRPr="00AF35B5" w:rsidTr="00283A15">
        <w:trPr>
          <w:trHeight w:val="1486"/>
        </w:trPr>
        <w:tc>
          <w:tcPr>
            <w:tcW w:w="567" w:type="dxa"/>
            <w:vMerge/>
            <w:noWrap/>
          </w:tcPr>
          <w:p w:rsidR="00E80D48" w:rsidRPr="00686027" w:rsidRDefault="00E80D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</w:tcPr>
          <w:p w:rsidR="00E80D48" w:rsidRPr="00686027" w:rsidRDefault="00E80D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</w:tcPr>
          <w:p w:rsidR="00E80D48" w:rsidRPr="00686027" w:rsidRDefault="004F12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bookmarkStart w:id="0" w:name="_GoBack"/>
            <w:bookmarkEnd w:id="0"/>
            <w:r w:rsidR="005C52A0" w:rsidRPr="0068602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5C52A0" w:rsidRPr="00686027">
              <w:rPr>
                <w:rFonts w:ascii="Times New Roman" w:hAnsi="Times New Roman" w:cs="Times New Roman"/>
                <w:lang w:val="uk-UA"/>
              </w:rPr>
              <w:t>Кульбіцький</w:t>
            </w:r>
            <w:proofErr w:type="spellEnd"/>
            <w:r w:rsidR="005C52A0" w:rsidRPr="00686027">
              <w:rPr>
                <w:rFonts w:ascii="Times New Roman" w:hAnsi="Times New Roman" w:cs="Times New Roman"/>
                <w:lang w:val="uk-UA"/>
              </w:rPr>
              <w:t xml:space="preserve"> В. Л., Масловата С. А. Лісова </w:t>
            </w:r>
            <w:proofErr w:type="spellStart"/>
            <w:r w:rsidR="005C52A0" w:rsidRPr="00686027">
              <w:rPr>
                <w:rFonts w:ascii="Times New Roman" w:hAnsi="Times New Roman" w:cs="Times New Roman"/>
                <w:lang w:val="uk-UA"/>
              </w:rPr>
              <w:t>пірологія</w:t>
            </w:r>
            <w:proofErr w:type="spellEnd"/>
            <w:r w:rsidR="005C52A0" w:rsidRPr="00686027">
              <w:rPr>
                <w:rFonts w:ascii="Times New Roman" w:hAnsi="Times New Roman" w:cs="Times New Roman"/>
                <w:lang w:val="uk-UA"/>
              </w:rPr>
              <w:t>: методичні матеріали, завдання і вказівки для самостійної роботи студентів денної та заочної форми навчання освітнього ступеня «Бакалавр» за спеціальністю 205 Лісове господарство. Умань, Уманський НУС, 2019. 14 с.</w:t>
            </w:r>
          </w:p>
        </w:tc>
      </w:tr>
      <w:tr w:rsidR="00B944DA" w:rsidRPr="004F12D5" w:rsidTr="00283A15">
        <w:trPr>
          <w:trHeight w:val="1800"/>
        </w:trPr>
        <w:tc>
          <w:tcPr>
            <w:tcW w:w="567" w:type="dxa"/>
            <w:vMerge w:val="restart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4395" w:type="dxa"/>
            <w:vMerge w:val="restart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Паралімпійських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</w:t>
            </w:r>
            <w:proofErr w:type="spellStart"/>
            <w:r w:rsidRPr="00686027">
              <w:rPr>
                <w:rFonts w:ascii="Times New Roman" w:hAnsi="Times New Roman" w:cs="Times New Roman"/>
                <w:lang w:val="uk-UA"/>
              </w:rPr>
              <w:t>судді</w:t>
            </w:r>
            <w:proofErr w:type="spellEnd"/>
            <w:r w:rsidRPr="00686027">
              <w:rPr>
                <w:rFonts w:ascii="Times New Roman" w:hAnsi="Times New Roman" w:cs="Times New Roman"/>
                <w:lang w:val="uk-UA"/>
              </w:rPr>
              <w:t xml:space="preserve">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5812" w:type="dxa"/>
            <w:vMerge w:val="restart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4F12D5" w:rsidTr="00283A15">
        <w:trPr>
          <w:trHeight w:val="2985"/>
        </w:trPr>
        <w:tc>
          <w:tcPr>
            <w:tcW w:w="567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4DA" w:rsidRPr="004F12D5" w:rsidTr="00283A15">
        <w:trPr>
          <w:trHeight w:val="1095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публікацій.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 w:rsidP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4F12D5" w:rsidTr="00283A15">
        <w:trPr>
          <w:trHeight w:val="405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Участь у професійних об’єднаннях за спеціальністю.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  <w:r w:rsidR="005C52A0">
              <w:rPr>
                <w:rFonts w:ascii="Times New Roman" w:hAnsi="Times New Roman" w:cs="Times New Roman"/>
                <w:lang w:val="uk-UA"/>
              </w:rPr>
              <w:t xml:space="preserve">Член громадської організації «Асоціація </w:t>
            </w:r>
            <w:proofErr w:type="spellStart"/>
            <w:r w:rsidR="005C52A0">
              <w:rPr>
                <w:rFonts w:ascii="Times New Roman" w:hAnsi="Times New Roman" w:cs="Times New Roman"/>
                <w:lang w:val="uk-UA"/>
              </w:rPr>
              <w:t>агролісівників</w:t>
            </w:r>
            <w:proofErr w:type="spellEnd"/>
            <w:r w:rsidR="005C52A0">
              <w:rPr>
                <w:rFonts w:ascii="Times New Roman" w:hAnsi="Times New Roman" w:cs="Times New Roman"/>
                <w:lang w:val="uk-UA"/>
              </w:rPr>
              <w:t xml:space="preserve"> України»</w:t>
            </w:r>
          </w:p>
        </w:tc>
      </w:tr>
      <w:tr w:rsidR="00B944DA" w:rsidRPr="00686027" w:rsidTr="00283A15">
        <w:trPr>
          <w:trHeight w:val="330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Досвід практичної роботи за спеціальністю не менше п’яти років.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686027" w:rsidTr="00283A15">
        <w:trPr>
          <w:trHeight w:val="523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395" w:type="dxa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B944DA" w:rsidRPr="00686027" w:rsidTr="00283A15">
        <w:trPr>
          <w:trHeight w:val="253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4DA" w:rsidRPr="00686027" w:rsidTr="00283A15">
        <w:trPr>
          <w:trHeight w:val="1545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7" w:type="dxa"/>
            <w:gridSpan w:val="2"/>
            <w:vMerge w:val="restart"/>
            <w:hideMark/>
          </w:tcPr>
          <w:p w:rsidR="00B944DA" w:rsidRPr="00686027" w:rsidRDefault="00B944DA" w:rsidP="00B944DA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</w:p>
          <w:p w:rsidR="00B944DA" w:rsidRPr="00686027" w:rsidRDefault="00B944DA" w:rsidP="000B651C">
            <w:pPr>
              <w:spacing w:after="200"/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 xml:space="preserve">                                         </w:t>
            </w:r>
            <w:r w:rsidR="000B651C" w:rsidRPr="00686027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           ______________________         </w:t>
            </w:r>
            <w:r w:rsidR="000B651C" w:rsidRPr="00686027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(Масловата С. А,)  </w:t>
            </w:r>
            <w:r w:rsidRPr="00686027">
              <w:rPr>
                <w:rFonts w:ascii="Times New Roman" w:hAnsi="Times New Roman" w:cs="Times New Roman"/>
                <w:lang w:val="uk-UA"/>
              </w:rPr>
              <w:br/>
            </w:r>
            <w:r w:rsidR="000B651C" w:rsidRPr="00686027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</w:t>
            </w:r>
            <w:r w:rsidRPr="00686027">
              <w:rPr>
                <w:rFonts w:ascii="Times New Roman" w:hAnsi="Times New Roman" w:cs="Times New Roman"/>
                <w:lang w:val="uk-UA"/>
              </w:rPr>
              <w:t>(підпис)</w:t>
            </w:r>
            <w:r w:rsidRPr="00686027">
              <w:rPr>
                <w:rFonts w:ascii="Times New Roman" w:hAnsi="Times New Roman" w:cs="Times New Roman"/>
                <w:lang w:val="uk-UA"/>
              </w:rPr>
              <w:br/>
            </w:r>
            <w:r w:rsidRPr="00686027">
              <w:rPr>
                <w:rFonts w:ascii="Times New Roman" w:hAnsi="Times New Roman" w:cs="Times New Roman"/>
                <w:lang w:val="uk-UA"/>
              </w:rPr>
              <w:br/>
              <w:t xml:space="preserve">Завідувач кафедри        </w:t>
            </w:r>
            <w:r w:rsidR="000B651C" w:rsidRPr="00686027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          _______________________  </w:t>
            </w:r>
            <w:r w:rsidR="000B651C" w:rsidRPr="00686027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(Шлапак В. П.)  </w:t>
            </w:r>
            <w:r w:rsidRPr="00686027">
              <w:rPr>
                <w:rFonts w:ascii="Times New Roman" w:hAnsi="Times New Roman" w:cs="Times New Roman"/>
                <w:lang w:val="uk-UA"/>
              </w:rPr>
              <w:br/>
            </w:r>
            <w:r w:rsidR="000B651C" w:rsidRPr="00686027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</w:t>
            </w:r>
            <w:r w:rsidRPr="00686027">
              <w:rPr>
                <w:rFonts w:ascii="Times New Roman" w:hAnsi="Times New Roman" w:cs="Times New Roman"/>
                <w:lang w:val="uk-UA"/>
              </w:rPr>
              <w:t xml:space="preserve">(підпис)                                       </w:t>
            </w:r>
          </w:p>
        </w:tc>
      </w:tr>
      <w:tr w:rsidR="00B944DA" w:rsidRPr="00686027" w:rsidTr="00283A15">
        <w:trPr>
          <w:trHeight w:val="339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7" w:type="dxa"/>
            <w:gridSpan w:val="2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4DA" w:rsidRPr="00686027" w:rsidTr="00283A15">
        <w:trPr>
          <w:trHeight w:val="255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5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4DA" w:rsidRPr="004F12D5" w:rsidTr="00283A15">
        <w:trPr>
          <w:trHeight w:val="255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7" w:type="dxa"/>
            <w:gridSpan w:val="2"/>
            <w:vMerge w:val="restart"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  <w:r w:rsidRPr="00686027">
              <w:rPr>
                <w:rFonts w:ascii="Times New Roman" w:hAnsi="Times New Roman" w:cs="Times New Roman"/>
                <w:lang w:val="uk-UA"/>
              </w:rPr>
              <w:t>*</w:t>
            </w:r>
            <w:r w:rsidRPr="0068602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Примітка:У  розділі "Фактичні дані" вказується перелік опублікованих наукових статей, монографій, підручників, посібників, одержаних охоронних документів (патентів) у відповідності до затверджених вимог, а також наводяться фактичні відомості про виконання наукових досліджень </w:t>
            </w:r>
          </w:p>
        </w:tc>
      </w:tr>
      <w:tr w:rsidR="00B944DA" w:rsidRPr="004F12D5" w:rsidTr="00283A15">
        <w:trPr>
          <w:trHeight w:val="255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7" w:type="dxa"/>
            <w:gridSpan w:val="2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4DA" w:rsidRPr="004F12D5" w:rsidTr="00283A15">
        <w:trPr>
          <w:trHeight w:val="255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7" w:type="dxa"/>
            <w:gridSpan w:val="2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4DA" w:rsidRPr="004F12D5" w:rsidTr="00283A15">
        <w:trPr>
          <w:trHeight w:val="78"/>
        </w:trPr>
        <w:tc>
          <w:tcPr>
            <w:tcW w:w="567" w:type="dxa"/>
            <w:noWrap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7" w:type="dxa"/>
            <w:gridSpan w:val="2"/>
            <w:vMerge/>
            <w:hideMark/>
          </w:tcPr>
          <w:p w:rsidR="00B944DA" w:rsidRPr="00686027" w:rsidRDefault="00B94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2A43" w:rsidRPr="00686027" w:rsidRDefault="00A72A43" w:rsidP="008A3E1F">
      <w:pPr>
        <w:rPr>
          <w:rFonts w:ascii="Times New Roman" w:hAnsi="Times New Roman" w:cs="Times New Roman"/>
          <w:lang w:val="uk-UA"/>
        </w:rPr>
      </w:pPr>
    </w:p>
    <w:sectPr w:rsidR="00A72A43" w:rsidRPr="0068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92"/>
    <w:rsid w:val="00076392"/>
    <w:rsid w:val="000B651C"/>
    <w:rsid w:val="00283A15"/>
    <w:rsid w:val="004F12D5"/>
    <w:rsid w:val="004F7DE7"/>
    <w:rsid w:val="005C52A0"/>
    <w:rsid w:val="00686027"/>
    <w:rsid w:val="008A3E1F"/>
    <w:rsid w:val="00A72A43"/>
    <w:rsid w:val="00AF35B5"/>
    <w:rsid w:val="00B944DA"/>
    <w:rsid w:val="00E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2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1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2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1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dcterms:created xsi:type="dcterms:W3CDTF">2019-11-05T19:02:00Z</dcterms:created>
  <dcterms:modified xsi:type="dcterms:W3CDTF">2020-02-17T19:07:00Z</dcterms:modified>
</cp:coreProperties>
</file>